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43" w:rsidRDefault="00112943" w:rsidP="00C0665A">
      <w:pPr>
        <w:rPr>
          <w:b/>
          <w:color w:val="1F4E79" w:themeColor="accent1" w:themeShade="80"/>
        </w:rPr>
      </w:pPr>
    </w:p>
    <w:p w:rsidR="00C4727B" w:rsidRDefault="00214CAD" w:rsidP="00C4727B">
      <w:pPr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Offre de formation : </w:t>
      </w:r>
      <w:r w:rsidR="00646CA7">
        <w:rPr>
          <w:b/>
          <w:color w:val="1F4E79" w:themeColor="accent1" w:themeShade="80"/>
        </w:rPr>
        <w:t>Appel à candidature</w:t>
      </w:r>
      <w:r w:rsidR="00C4727B">
        <w:rPr>
          <w:b/>
          <w:color w:val="1F4E79" w:themeColor="accent1" w:themeShade="80"/>
        </w:rPr>
        <w:t>s</w:t>
      </w:r>
    </w:p>
    <w:p w:rsidR="00D26665" w:rsidRDefault="00646CA7" w:rsidP="00C4727B">
      <w:pPr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Diplôme universitaire : </w:t>
      </w:r>
      <w:r w:rsidR="00146091" w:rsidRPr="00FB5561">
        <w:rPr>
          <w:b/>
          <w:color w:val="1F4E79" w:themeColor="accent1" w:themeShade="80"/>
        </w:rPr>
        <w:t xml:space="preserve"> </w:t>
      </w:r>
      <w:r w:rsidR="00835AC4" w:rsidRPr="00FB5561">
        <w:rPr>
          <w:b/>
          <w:color w:val="1F4E79" w:themeColor="accent1" w:themeShade="80"/>
        </w:rPr>
        <w:t xml:space="preserve">Conduite de projet en situation éducative : </w:t>
      </w:r>
      <w:r>
        <w:rPr>
          <w:b/>
          <w:color w:val="1F4E79" w:themeColor="accent1" w:themeShade="80"/>
        </w:rPr>
        <w:t>option climat scolaire et bien-être, conditions de réussite</w:t>
      </w:r>
      <w:r w:rsidR="00D26665" w:rsidRPr="00D26665">
        <w:rPr>
          <w:b/>
          <w:color w:val="1F4E79" w:themeColor="accent1" w:themeShade="80"/>
        </w:rPr>
        <w:t xml:space="preserve"> </w:t>
      </w:r>
    </w:p>
    <w:p w:rsidR="00E221F5" w:rsidRDefault="00251726" w:rsidP="00435CE8">
      <w:pPr>
        <w:jc w:val="both"/>
      </w:pPr>
      <w:r>
        <w:t xml:space="preserve">Ce </w:t>
      </w:r>
      <w:r w:rsidRPr="00FB5561">
        <w:t xml:space="preserve">DU « Conduite de projet en situation éducative : climat scolaire et bien-être pour la réussite de </w:t>
      </w:r>
      <w:proofErr w:type="gramStart"/>
      <w:r w:rsidRPr="00FB5561">
        <w:t>tous»</w:t>
      </w:r>
      <w:proofErr w:type="gramEnd"/>
      <w:r w:rsidRPr="00FB5561">
        <w:t xml:space="preserve"> </w:t>
      </w:r>
      <w:r w:rsidR="00214CAD">
        <w:t xml:space="preserve">a pour originalité d’être le fruit d’un travail partenarial entre </w:t>
      </w:r>
      <w:r w:rsidRPr="00FB5561">
        <w:t>l’Universi</w:t>
      </w:r>
      <w:r w:rsidR="00214CAD">
        <w:t>té de Cergy et</w:t>
      </w:r>
      <w:r>
        <w:t xml:space="preserve"> les Académies de Paris et </w:t>
      </w:r>
      <w:r w:rsidRPr="00FB5561">
        <w:t xml:space="preserve">Versailles, </w:t>
      </w:r>
      <w:r>
        <w:t xml:space="preserve">la Fédération OCCE, </w:t>
      </w:r>
      <w:proofErr w:type="spellStart"/>
      <w:r>
        <w:t>Canopé</w:t>
      </w:r>
      <w:proofErr w:type="spellEnd"/>
      <w:r w:rsidRPr="00FB5561">
        <w:t>.</w:t>
      </w:r>
      <w:r w:rsidR="00C16F32">
        <w:t xml:space="preserve"> Il est pensé pour et avec des professionnels désireux de se spécialiser dans ces domaines pour devenir initiateurs de projets, chefs de projets, coordonnateurs, formateurs.</w:t>
      </w:r>
    </w:p>
    <w:p w:rsidR="00C0665A" w:rsidRDefault="001C0C73" w:rsidP="00435CE8">
      <w:pPr>
        <w:jc w:val="both"/>
      </w:pPr>
      <w:r>
        <w:rPr>
          <w:b/>
          <w:color w:val="1F4E79" w:themeColor="accent1" w:themeShade="80"/>
        </w:rPr>
        <w:t>Candidater</w:t>
      </w:r>
      <w:r w:rsidR="00C0665A" w:rsidRPr="00C0665A">
        <w:rPr>
          <w:b/>
          <w:color w:val="1F4E79" w:themeColor="accent1" w:themeShade="80"/>
        </w:rPr>
        <w:t xml:space="preserve"> : avant le </w:t>
      </w:r>
      <w:r>
        <w:rPr>
          <w:b/>
          <w:color w:val="1F4E79" w:themeColor="accent1" w:themeShade="80"/>
        </w:rPr>
        <w:t>25 août</w:t>
      </w:r>
      <w:r w:rsidR="00C0665A" w:rsidRPr="00C0665A">
        <w:rPr>
          <w:b/>
          <w:color w:val="1F4E79" w:themeColor="accent1" w:themeShade="80"/>
        </w:rPr>
        <w:t xml:space="preserve"> 202</w:t>
      </w:r>
      <w:r>
        <w:rPr>
          <w:b/>
          <w:color w:val="1F4E79" w:themeColor="accent1" w:themeShade="80"/>
        </w:rPr>
        <w:t>3</w:t>
      </w:r>
      <w:r w:rsidR="00C0665A" w:rsidRPr="008E11D6">
        <w:rPr>
          <w:b/>
        </w:rPr>
        <w:t>,</w:t>
      </w:r>
      <w:r w:rsidR="00C0665A">
        <w:t xml:space="preserve"> voir précisions ci-dessous.</w:t>
      </w:r>
      <w:bookmarkStart w:id="0" w:name="_GoBack"/>
      <w:bookmarkEnd w:id="0"/>
    </w:p>
    <w:p w:rsidR="00C16F32" w:rsidRPr="00FB5561" w:rsidRDefault="00C16F32" w:rsidP="00435CE8">
      <w:pPr>
        <w:jc w:val="both"/>
        <w:rPr>
          <w:b/>
          <w:color w:val="1F4E79" w:themeColor="accent1" w:themeShade="80"/>
        </w:rPr>
      </w:pPr>
      <w:r w:rsidRPr="00C16F32">
        <w:rPr>
          <w:b/>
          <w:color w:val="1F4E79" w:themeColor="accent1" w:themeShade="80"/>
        </w:rPr>
        <w:t xml:space="preserve">Ouverture du </w:t>
      </w:r>
      <w:proofErr w:type="spellStart"/>
      <w:r w:rsidRPr="00C16F32">
        <w:rPr>
          <w:b/>
          <w:color w:val="1F4E79" w:themeColor="accent1" w:themeShade="80"/>
        </w:rPr>
        <w:t>DU</w:t>
      </w:r>
      <w:proofErr w:type="spellEnd"/>
      <w:r w:rsidRPr="00C16F32">
        <w:rPr>
          <w:b/>
          <w:color w:val="1F4E79" w:themeColor="accent1" w:themeShade="80"/>
        </w:rPr>
        <w:t xml:space="preserve"> : </w:t>
      </w:r>
      <w:r w:rsidR="001C0C73">
        <w:rPr>
          <w:b/>
          <w:color w:val="1F4E79" w:themeColor="accent1" w:themeShade="80"/>
        </w:rPr>
        <w:t>29</w:t>
      </w:r>
      <w:r w:rsidR="00C0665A">
        <w:rPr>
          <w:b/>
          <w:color w:val="1F4E79" w:themeColor="accent1" w:themeShade="80"/>
        </w:rPr>
        <w:t xml:space="preserve"> </w:t>
      </w:r>
      <w:r w:rsidR="001C0C73">
        <w:rPr>
          <w:b/>
        </w:rPr>
        <w:t>septembre</w:t>
      </w:r>
      <w:r w:rsidRPr="00EE7FA8">
        <w:rPr>
          <w:b/>
        </w:rPr>
        <w:t xml:space="preserve"> 2023</w:t>
      </w:r>
    </w:p>
    <w:p w:rsidR="00A11230" w:rsidRDefault="000109A5" w:rsidP="00267FAD">
      <w:pPr>
        <w:jc w:val="both"/>
      </w:pPr>
      <w:r w:rsidRPr="00FB5561">
        <w:rPr>
          <w:b/>
          <w:color w:val="1F4E79" w:themeColor="accent1" w:themeShade="80"/>
        </w:rPr>
        <w:t>Objectifs</w:t>
      </w:r>
      <w:r w:rsidRPr="00FB5561">
        <w:rPr>
          <w:color w:val="1F4E79" w:themeColor="accent1" w:themeShade="80"/>
        </w:rPr>
        <w:t> :</w:t>
      </w:r>
      <w:r w:rsidRPr="00FB5561">
        <w:t> </w:t>
      </w:r>
      <w:r w:rsidR="00A11230" w:rsidRPr="00112943">
        <w:t xml:space="preserve">Acquérir connaissances et compétences afin d’être en mesure de </w:t>
      </w:r>
      <w:r w:rsidR="00214CAD" w:rsidRPr="00112943">
        <w:t>penser</w:t>
      </w:r>
      <w:r w:rsidR="008D288A">
        <w:t>, D</w:t>
      </w:r>
      <w:r w:rsidR="00214CAD">
        <w:t>éfinir</w:t>
      </w:r>
      <w:r w:rsidR="008D288A">
        <w:t xml:space="preserve">, </w:t>
      </w:r>
      <w:r w:rsidR="008D288A" w:rsidRPr="00112943">
        <w:t>concevoir</w:t>
      </w:r>
      <w:r w:rsidR="00214CAD" w:rsidRPr="00112943">
        <w:t xml:space="preserve"> </w:t>
      </w:r>
      <w:r w:rsidR="00214CAD">
        <w:t xml:space="preserve">et conduire des </w:t>
      </w:r>
      <w:r w:rsidR="00A11230">
        <w:t>projets sur le climat scolaire et le bien-être</w:t>
      </w:r>
      <w:r w:rsidRPr="00FB5561">
        <w:t xml:space="preserve"> </w:t>
      </w:r>
      <w:r w:rsidR="00C16F32">
        <w:t xml:space="preserve">en situation éducative. </w:t>
      </w:r>
      <w:r w:rsidR="00710A8C" w:rsidRPr="00112943">
        <w:t>Etre en mesure d</w:t>
      </w:r>
      <w:r w:rsidR="00112943" w:rsidRPr="00112943">
        <w:t>’a</w:t>
      </w:r>
      <w:r w:rsidR="008D288A" w:rsidRPr="00112943">
        <w:t xml:space="preserve">nalyser le contexte et organiser l’activité à différentes </w:t>
      </w:r>
      <w:r w:rsidR="00710A8C" w:rsidRPr="00112943">
        <w:t>échelle</w:t>
      </w:r>
      <w:r w:rsidR="008D288A" w:rsidRPr="00112943">
        <w:t>s</w:t>
      </w:r>
      <w:r w:rsidR="00710A8C" w:rsidRPr="00112943">
        <w:t xml:space="preserve"> </w:t>
      </w:r>
      <w:r w:rsidR="00710A8C">
        <w:t xml:space="preserve">(école, territoire, circonscription, département, académie) </w:t>
      </w:r>
      <w:r w:rsidR="00710A8C" w:rsidRPr="00112943">
        <w:t>en inscrivant son action dans une approche systémique</w:t>
      </w:r>
      <w:r w:rsidR="00710A8C">
        <w:t>.</w:t>
      </w:r>
      <w:r w:rsidR="00DB6E76">
        <w:t xml:space="preserve"> </w:t>
      </w:r>
      <w:r w:rsidR="00A11230" w:rsidRPr="00112943">
        <w:t xml:space="preserve">Etre en mesure </w:t>
      </w:r>
      <w:proofErr w:type="gramStart"/>
      <w:r w:rsidR="00A11230" w:rsidRPr="00112943">
        <w:t>d’</w:t>
      </w:r>
      <w:r w:rsidR="008D288A" w:rsidRPr="00112943">
        <w:t xml:space="preserve"> </w:t>
      </w:r>
      <w:r w:rsidR="00112943">
        <w:t>é</w:t>
      </w:r>
      <w:r w:rsidR="00A11230">
        <w:t>valuer</w:t>
      </w:r>
      <w:proofErr w:type="gramEnd"/>
      <w:r w:rsidR="00A11230">
        <w:t xml:space="preserve"> la portée de ses projets, décisions et actes sur le climat scolaire et le bien-être</w:t>
      </w:r>
      <w:r w:rsidR="00214CAD">
        <w:t xml:space="preserve">. </w:t>
      </w:r>
    </w:p>
    <w:p w:rsidR="00C16F32" w:rsidRPr="00112943" w:rsidRDefault="00C16F32" w:rsidP="00C16F32">
      <w:pPr>
        <w:jc w:val="both"/>
      </w:pPr>
      <w:r w:rsidRPr="00C4727B">
        <w:rPr>
          <w:b/>
          <w:color w:val="1F4E79" w:themeColor="accent1" w:themeShade="80"/>
        </w:rPr>
        <w:t>Public cible</w:t>
      </w:r>
      <w:r w:rsidR="00112943" w:rsidRPr="00C4727B">
        <w:rPr>
          <w:b/>
          <w:color w:val="1F4E79" w:themeColor="accent1" w:themeShade="80"/>
        </w:rPr>
        <w:t> :</w:t>
      </w:r>
      <w:r w:rsidR="00112943" w:rsidRPr="00112943">
        <w:t xml:space="preserve"> </w:t>
      </w:r>
      <w:r w:rsidR="008D288A" w:rsidRPr="00112943">
        <w:t>E</w:t>
      </w:r>
      <w:r w:rsidRPr="00112943">
        <w:t>nseignants, CPE, chefs d’établissement, médi</w:t>
      </w:r>
      <w:r w:rsidR="008D288A" w:rsidRPr="00112943">
        <w:t xml:space="preserve">ateurs et directeurs </w:t>
      </w:r>
      <w:proofErr w:type="spellStart"/>
      <w:r w:rsidR="008D288A" w:rsidRPr="00112943">
        <w:t>Canopé</w:t>
      </w:r>
      <w:proofErr w:type="spellEnd"/>
      <w:r w:rsidR="008D288A" w:rsidRPr="00112943">
        <w:t xml:space="preserve">, </w:t>
      </w:r>
      <w:r w:rsidR="00CE4E0D" w:rsidRPr="00112943">
        <w:t>intervenants d’action éducative ou IAS,</w:t>
      </w:r>
      <w:r w:rsidR="008D288A" w:rsidRPr="00112943">
        <w:t xml:space="preserve"> </w:t>
      </w:r>
      <w:r w:rsidR="00CE4E0D" w:rsidRPr="00112943">
        <w:t xml:space="preserve">cadres ou futurs encadrants </w:t>
      </w:r>
      <w:r w:rsidRPr="00112943">
        <w:t xml:space="preserve">éducatifs de collectivité territoriale et </w:t>
      </w:r>
      <w:r w:rsidR="008D288A" w:rsidRPr="00112943">
        <w:t xml:space="preserve">milieu </w:t>
      </w:r>
      <w:r w:rsidRPr="00112943">
        <w:t xml:space="preserve">associatif, formateurs, </w:t>
      </w:r>
      <w:r w:rsidR="00CE4E0D" w:rsidRPr="00112943">
        <w:t xml:space="preserve">éducateurs, psychologues, moniteurs </w:t>
      </w:r>
      <w:r w:rsidR="008D288A" w:rsidRPr="00112943">
        <w:t>PJJ</w:t>
      </w:r>
      <w:r w:rsidR="00CE4E0D" w:rsidRPr="00112943">
        <w:t>-J</w:t>
      </w:r>
      <w:r w:rsidR="00560DB9" w:rsidRPr="00112943">
        <w:t>ustice</w:t>
      </w:r>
      <w:r w:rsidRPr="00112943">
        <w:t>.</w:t>
      </w:r>
    </w:p>
    <w:p w:rsidR="00C4727B" w:rsidRDefault="001C0C73" w:rsidP="00C4727B">
      <w:pPr>
        <w:spacing w:after="0" w:line="240" w:lineRule="auto"/>
        <w:jc w:val="both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Candidature et </w:t>
      </w:r>
      <w:r w:rsidR="00112943" w:rsidRPr="00FB5561">
        <w:rPr>
          <w:b/>
          <w:color w:val="1F4E79" w:themeColor="accent1" w:themeShade="80"/>
        </w:rPr>
        <w:t>Inscription</w:t>
      </w:r>
      <w:r w:rsidR="00C4727B">
        <w:rPr>
          <w:b/>
          <w:color w:val="1F4E79" w:themeColor="accent1" w:themeShade="80"/>
        </w:rPr>
        <w:t xml:space="preserve"> </w:t>
      </w:r>
    </w:p>
    <w:p w:rsidR="00C4727B" w:rsidRDefault="00C4727B" w:rsidP="00C4727B">
      <w:pPr>
        <w:spacing w:after="0" w:line="240" w:lineRule="auto"/>
        <w:jc w:val="both"/>
      </w:pPr>
    </w:p>
    <w:p w:rsidR="00112943" w:rsidRDefault="00112943" w:rsidP="00C4727B">
      <w:pPr>
        <w:spacing w:after="0" w:line="240" w:lineRule="auto"/>
        <w:jc w:val="both"/>
      </w:pPr>
      <w:r w:rsidRPr="00214CAD">
        <w:t>Conditions de participation :</w:t>
      </w:r>
    </w:p>
    <w:p w:rsidR="00112943" w:rsidRDefault="00112943" w:rsidP="00C4727B">
      <w:pPr>
        <w:spacing w:after="0" w:line="240" w:lineRule="auto"/>
        <w:jc w:val="both"/>
      </w:pPr>
      <w:r w:rsidRPr="00214CAD">
        <w:t>Les candidats à cette formation devront être titulaires d'une licence ou d'un master dans le champ de l'éducation et de la formation ou bénéficier d'une validation des acquis personnels et professionnels (VAPP85).</w:t>
      </w:r>
    </w:p>
    <w:p w:rsidR="00112943" w:rsidRDefault="00112943" w:rsidP="00112943">
      <w:pPr>
        <w:spacing w:after="0" w:line="240" w:lineRule="auto"/>
        <w:jc w:val="both"/>
      </w:pPr>
      <w:r w:rsidRPr="00214CAD">
        <w:t>Processus de sélection :</w:t>
      </w:r>
    </w:p>
    <w:p w:rsidR="00112943" w:rsidRDefault="00112943" w:rsidP="00112943">
      <w:pPr>
        <w:spacing w:after="0" w:line="240" w:lineRule="auto"/>
        <w:jc w:val="both"/>
      </w:pPr>
      <w:r w:rsidRPr="00214CAD">
        <w:t>La sélection est faite sous la responsabilité de</w:t>
      </w:r>
      <w:r>
        <w:t xml:space="preserve"> </w:t>
      </w:r>
      <w:r w:rsidRPr="008D288A">
        <w:rPr>
          <w:color w:val="1F4E79" w:themeColor="accent1" w:themeShade="80"/>
        </w:rPr>
        <w:t xml:space="preserve">Cergy Université </w:t>
      </w:r>
      <w:r w:rsidRPr="00214CAD">
        <w:t>par l'étude d'un dossier de candidature con</w:t>
      </w:r>
      <w:r>
        <w:t xml:space="preserve">stitué </w:t>
      </w:r>
      <w:r w:rsidRPr="00710A8C">
        <w:rPr>
          <w:color w:val="1F4E79" w:themeColor="accent1" w:themeShade="80"/>
        </w:rPr>
        <w:t xml:space="preserve">de: </w:t>
      </w:r>
      <w:r w:rsidRPr="00214CAD">
        <w:t>un CV, une lettre de motivation, les copies des diplômes obtenus.</w:t>
      </w:r>
      <w:r w:rsidR="001C0C73">
        <w:t xml:space="preserve"> </w:t>
      </w:r>
      <w:r w:rsidRPr="00214CAD">
        <w:t xml:space="preserve">La validation de la candidature sera faite d'un commun accord entre </w:t>
      </w:r>
      <w:r w:rsidRPr="00C4727B">
        <w:t>CY CPU</w:t>
      </w:r>
      <w:r>
        <w:t xml:space="preserve"> </w:t>
      </w:r>
      <w:r w:rsidRPr="008D288A">
        <w:rPr>
          <w:color w:val="1F4E79" w:themeColor="accent1" w:themeShade="80"/>
        </w:rPr>
        <w:t xml:space="preserve">Cergy Université </w:t>
      </w:r>
      <w:r>
        <w:t xml:space="preserve">et </w:t>
      </w:r>
      <w:r w:rsidRPr="008D288A">
        <w:rPr>
          <w:color w:val="1F4E79" w:themeColor="accent1" w:themeShade="80"/>
        </w:rPr>
        <w:t>s</w:t>
      </w:r>
      <w:r w:rsidRPr="00214CAD">
        <w:t>es partenaires.</w:t>
      </w:r>
    </w:p>
    <w:p w:rsidR="00112943" w:rsidRDefault="00112943" w:rsidP="00435CE8">
      <w:pPr>
        <w:jc w:val="both"/>
        <w:rPr>
          <w:b/>
          <w:color w:val="1F4E79" w:themeColor="accent1" w:themeShade="80"/>
        </w:rPr>
      </w:pPr>
    </w:p>
    <w:p w:rsidR="00C4727B" w:rsidRDefault="00C4727B" w:rsidP="00435CE8">
      <w:pPr>
        <w:jc w:val="both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Modalités : </w:t>
      </w:r>
      <w:r w:rsidRPr="00C4727B">
        <w:rPr>
          <w:color w:val="1F4E79" w:themeColor="accent1" w:themeShade="80"/>
        </w:rPr>
        <w:t xml:space="preserve">100% </w:t>
      </w:r>
      <w:proofErr w:type="spellStart"/>
      <w:r w:rsidRPr="00C4727B">
        <w:rPr>
          <w:color w:val="1F4E79" w:themeColor="accent1" w:themeShade="80"/>
        </w:rPr>
        <w:t>distanciel</w:t>
      </w:r>
      <w:proofErr w:type="spellEnd"/>
      <w:r w:rsidRPr="00C4727B">
        <w:rPr>
          <w:color w:val="1F4E79" w:themeColor="accent1" w:themeShade="80"/>
        </w:rPr>
        <w:t>, selon deux modalités synchrone et asynchrone.</w:t>
      </w:r>
      <w:r>
        <w:rPr>
          <w:b/>
          <w:color w:val="1F4E79" w:themeColor="accent1" w:themeShade="80"/>
        </w:rPr>
        <w:t xml:space="preserve"> </w:t>
      </w:r>
    </w:p>
    <w:p w:rsidR="000109A5" w:rsidRPr="00FB5561" w:rsidRDefault="00022B3F" w:rsidP="00435CE8">
      <w:pPr>
        <w:jc w:val="both"/>
        <w:rPr>
          <w:b/>
          <w:color w:val="1F4E79" w:themeColor="accent1" w:themeShade="80"/>
        </w:rPr>
      </w:pPr>
      <w:r w:rsidRPr="00FB5561">
        <w:rPr>
          <w:b/>
          <w:color w:val="1F4E79" w:themeColor="accent1" w:themeShade="80"/>
        </w:rPr>
        <w:t>Description</w:t>
      </w:r>
    </w:p>
    <w:p w:rsidR="00A11230" w:rsidRDefault="00A11230" w:rsidP="00C16F32">
      <w:pPr>
        <w:spacing w:after="0"/>
        <w:jc w:val="both"/>
      </w:pPr>
      <w:r>
        <w:t>Le diplôme universitaire est constitué de 3 unités d’enseignement :</w:t>
      </w:r>
    </w:p>
    <w:p w:rsidR="00A11230" w:rsidRDefault="00A11230" w:rsidP="00C16F32">
      <w:pPr>
        <w:spacing w:after="0"/>
        <w:jc w:val="both"/>
      </w:pPr>
      <w:r>
        <w:t>UE1 : Thématique climat scolaire et bien-être</w:t>
      </w:r>
    </w:p>
    <w:p w:rsidR="00A11230" w:rsidRDefault="00A11230" w:rsidP="00C16F32">
      <w:pPr>
        <w:spacing w:after="0"/>
        <w:jc w:val="both"/>
      </w:pPr>
      <w:r>
        <w:t>UE2 : Méthodologie de recherche</w:t>
      </w:r>
    </w:p>
    <w:p w:rsidR="00A11230" w:rsidRDefault="00A11230" w:rsidP="00C16F32">
      <w:pPr>
        <w:spacing w:after="0"/>
        <w:jc w:val="both"/>
      </w:pPr>
      <w:r>
        <w:t>UE3 : Conduite de projets et partenariats</w:t>
      </w:r>
    </w:p>
    <w:p w:rsidR="00A11230" w:rsidRDefault="00A11230" w:rsidP="00C16F32">
      <w:pPr>
        <w:spacing w:after="0"/>
        <w:jc w:val="both"/>
      </w:pPr>
      <w:r>
        <w:t xml:space="preserve">Ce DU est porté par la plate-forme </w:t>
      </w:r>
      <w:proofErr w:type="spellStart"/>
      <w:r>
        <w:t>Techsolab</w:t>
      </w:r>
      <w:proofErr w:type="spellEnd"/>
      <w:r>
        <w:t xml:space="preserve"> de l’Université de Cergy. </w:t>
      </w:r>
    </w:p>
    <w:p w:rsidR="00063E4E" w:rsidRDefault="00267FAD" w:rsidP="00C16F32">
      <w:pPr>
        <w:spacing w:after="0"/>
        <w:jc w:val="both"/>
      </w:pPr>
      <w:r w:rsidRPr="00063E4E">
        <w:t>Il comprend trois niveaux d’expertise : initié, acteur, expert-architecte.</w:t>
      </w:r>
    </w:p>
    <w:p w:rsidR="00C4727B" w:rsidRDefault="00C4727B" w:rsidP="00C16F32">
      <w:pPr>
        <w:spacing w:after="0"/>
        <w:jc w:val="both"/>
      </w:pPr>
    </w:p>
    <w:p w:rsidR="00C4727B" w:rsidRDefault="00C4727B" w:rsidP="00C16F32">
      <w:pPr>
        <w:spacing w:after="0"/>
        <w:jc w:val="both"/>
      </w:pPr>
    </w:p>
    <w:p w:rsidR="00C4727B" w:rsidRDefault="00C4727B" w:rsidP="00C16F32">
      <w:pPr>
        <w:spacing w:after="0"/>
        <w:jc w:val="both"/>
      </w:pPr>
    </w:p>
    <w:p w:rsidR="00C4727B" w:rsidRDefault="00C4727B" w:rsidP="00C16F32">
      <w:pPr>
        <w:spacing w:after="0"/>
        <w:jc w:val="both"/>
      </w:pPr>
    </w:p>
    <w:p w:rsidR="00C4727B" w:rsidRDefault="00C4727B" w:rsidP="00C16F32">
      <w:pPr>
        <w:spacing w:after="0"/>
        <w:jc w:val="both"/>
      </w:pPr>
    </w:p>
    <w:p w:rsidR="00267FAD" w:rsidRDefault="00710A8C" w:rsidP="00C16F32">
      <w:pPr>
        <w:spacing w:after="0"/>
        <w:jc w:val="both"/>
      </w:pPr>
      <w:r>
        <w:t xml:space="preserve"> </w:t>
      </w:r>
    </w:p>
    <w:tbl>
      <w:tblPr>
        <w:tblStyle w:val="TableGrid"/>
        <w:tblW w:w="10127" w:type="dxa"/>
        <w:tblInd w:w="-65" w:type="dxa"/>
        <w:tblCellMar>
          <w:top w:w="36" w:type="dxa"/>
          <w:left w:w="82" w:type="dxa"/>
          <w:right w:w="91" w:type="dxa"/>
        </w:tblCellMar>
        <w:tblLook w:val="04A0" w:firstRow="1" w:lastRow="0" w:firstColumn="1" w:lastColumn="0" w:noHBand="0" w:noVBand="1"/>
      </w:tblPr>
      <w:tblGrid>
        <w:gridCol w:w="1743"/>
        <w:gridCol w:w="2855"/>
        <w:gridCol w:w="2694"/>
        <w:gridCol w:w="2835"/>
      </w:tblGrid>
      <w:tr w:rsidR="00DF7DFA" w:rsidRPr="00267FAD" w:rsidTr="00DF7DFA">
        <w:trPr>
          <w:trHeight w:val="20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AD" w:rsidRPr="00267FAD" w:rsidRDefault="00267FAD" w:rsidP="00267FAD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FAD" w:rsidRPr="00310A45" w:rsidRDefault="00267FAD" w:rsidP="00267FAD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310A4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UE1</w:t>
            </w:r>
          </w:p>
          <w:p w:rsidR="00267FAD" w:rsidRPr="00267FAD" w:rsidRDefault="00267FAD" w:rsidP="00267FAD">
            <w:pP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Thématique </w:t>
            </w:r>
            <w:r w:rsidRPr="00310A4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climat scolaire et bien-être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AD" w:rsidRPr="00310A45" w:rsidRDefault="00267FAD" w:rsidP="00267FAD">
            <w:pPr>
              <w:ind w:left="65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UE 2</w:t>
            </w:r>
          </w:p>
          <w:p w:rsidR="00267FAD" w:rsidRPr="00267FAD" w:rsidRDefault="00267FAD" w:rsidP="00267FAD">
            <w:pPr>
              <w:ind w:left="65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Méthodologie de la recherche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AD" w:rsidRPr="00267FAD" w:rsidRDefault="00267FAD" w:rsidP="00267FAD">
            <w:pPr>
              <w:ind w:left="55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UE 3</w:t>
            </w:r>
          </w:p>
          <w:p w:rsidR="00267FAD" w:rsidRPr="00267FAD" w:rsidRDefault="00267FAD" w:rsidP="00267FAD">
            <w:pPr>
              <w:ind w:left="48" w:right="310" w:firstLine="7"/>
              <w:jc w:val="both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267FAD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 xml:space="preserve">Conduite de projet et </w:t>
            </w:r>
            <w:r w:rsidRPr="00310A45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p</w:t>
            </w:r>
            <w:r w:rsidRPr="00267FAD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artenariats</w:t>
            </w:r>
          </w:p>
        </w:tc>
      </w:tr>
      <w:tr w:rsidR="00DF7DFA" w:rsidRPr="00267FAD" w:rsidTr="00DF7DFA">
        <w:trPr>
          <w:trHeight w:val="20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AD" w:rsidRPr="00267FAD" w:rsidRDefault="00267FAD" w:rsidP="00267FAD">
            <w:pPr>
              <w:ind w:left="77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Initié</w:t>
            </w:r>
          </w:p>
          <w:p w:rsidR="00267FAD" w:rsidRPr="00267FAD" w:rsidRDefault="00267FAD" w:rsidP="00267FAD">
            <w:pPr>
              <w:ind w:left="69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 x 1 ECTS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AD" w:rsidRPr="00267FAD" w:rsidRDefault="00267FAD" w:rsidP="00267FAD">
            <w:pPr>
              <w:ind w:left="62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MOOC</w:t>
            </w:r>
          </w:p>
          <w:p w:rsidR="00267FAD" w:rsidRPr="00267FAD" w:rsidRDefault="00267FAD" w:rsidP="00267FAD">
            <w:pPr>
              <w:spacing w:after="29" w:line="257" w:lineRule="auto"/>
              <w:ind w:left="69" w:firstLine="14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Base de connaissances donnant accès aux points de vu</w:t>
            </w:r>
            <w:r w:rsidR="00DF7D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 de la rech</w:t>
            </w:r>
            <w:r w:rsidR="0002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erche, du </w:t>
            </w:r>
            <w:r w:rsidR="00DF7D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point vue </w:t>
            </w: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 la situation de travail, du point de vue des élèves, du point de vue de l'institution.</w:t>
            </w:r>
          </w:p>
          <w:p w:rsidR="00267FAD" w:rsidRPr="00267FAD" w:rsidRDefault="00267FAD" w:rsidP="00267FAD">
            <w:pPr>
              <w:spacing w:after="134"/>
              <w:ind w:left="62" w:right="14" w:firstLine="7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SPn</w:t>
            </w: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 : mise en parallèle des différe</w:t>
            </w:r>
            <w:r w:rsidR="00310A4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ntes définitions et principe d'</w:t>
            </w: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actions</w:t>
            </w:r>
          </w:p>
          <w:p w:rsidR="00267FAD" w:rsidRPr="00267FAD" w:rsidRDefault="00267FAD" w:rsidP="00267FAD">
            <w:pPr>
              <w:ind w:left="41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 h-enseignement</w:t>
            </w:r>
          </w:p>
          <w:p w:rsidR="00267FAD" w:rsidRPr="00267FAD" w:rsidRDefault="00267FAD" w:rsidP="00267FAD">
            <w:pPr>
              <w:ind w:left="55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 h-travail personnel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AD" w:rsidRPr="00267FAD" w:rsidRDefault="00267FAD" w:rsidP="00267FAD">
            <w:pPr>
              <w:ind w:left="5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MOOC</w:t>
            </w:r>
          </w:p>
          <w:p w:rsidR="00267FAD" w:rsidRPr="00267FAD" w:rsidRDefault="00267FAD" w:rsidP="00267FAD">
            <w:pPr>
              <w:ind w:left="58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Initiation à la méthodologie liée à la thématique</w:t>
            </w:r>
          </w:p>
          <w:p w:rsidR="00267FAD" w:rsidRPr="00267FAD" w:rsidRDefault="00267FAD" w:rsidP="00267FAD">
            <w:pPr>
              <w:ind w:left="58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267FAD" w:rsidRPr="00267FAD" w:rsidRDefault="00267FAD" w:rsidP="00267FAD">
            <w:pPr>
              <w:ind w:left="58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267FAD" w:rsidRPr="00267FAD" w:rsidRDefault="00267FAD" w:rsidP="00267FAD">
            <w:pPr>
              <w:ind w:left="58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267FAD" w:rsidRPr="00267FAD" w:rsidRDefault="00267FAD" w:rsidP="00267FAD">
            <w:pPr>
              <w:ind w:left="58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267FAD" w:rsidRPr="00267FAD" w:rsidRDefault="00267FAD" w:rsidP="00267FAD">
            <w:pPr>
              <w:ind w:left="58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267FAD" w:rsidRPr="00267FAD" w:rsidRDefault="00267FAD" w:rsidP="00267FAD">
            <w:pPr>
              <w:ind w:left="58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267FAD" w:rsidRPr="00267FAD" w:rsidRDefault="00267FAD" w:rsidP="00267FAD">
            <w:pPr>
              <w:ind w:left="58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267FAD" w:rsidRPr="00267FAD" w:rsidRDefault="00267FAD" w:rsidP="00267FAD">
            <w:pPr>
              <w:ind w:left="58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267FAD" w:rsidRPr="00267FAD" w:rsidRDefault="00267FAD" w:rsidP="00267FAD">
            <w:pPr>
              <w:ind w:left="5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 h-enseignement</w:t>
            </w:r>
          </w:p>
          <w:p w:rsidR="00267FAD" w:rsidRPr="00267FAD" w:rsidRDefault="00267FAD" w:rsidP="00267FAD">
            <w:pPr>
              <w:ind w:left="5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 h-travail personnel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AD" w:rsidRPr="00267FAD" w:rsidRDefault="00267FAD" w:rsidP="00267FAD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En lien avec les situations professionnelles des stagiaires et leurs institutions</w:t>
            </w:r>
          </w:p>
        </w:tc>
      </w:tr>
      <w:tr w:rsidR="00DF7DFA" w:rsidRPr="00267FAD" w:rsidTr="00DF7DFA">
        <w:trPr>
          <w:trHeight w:val="2494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AD" w:rsidRPr="00267FAD" w:rsidRDefault="00267FAD" w:rsidP="00267FAD">
            <w:pPr>
              <w:ind w:left="33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Acteur</w:t>
            </w:r>
          </w:p>
          <w:p w:rsidR="00267FAD" w:rsidRPr="00267FAD" w:rsidRDefault="00267FAD" w:rsidP="00267FAD">
            <w:pPr>
              <w:ind w:left="41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 x 2 ECTS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AD" w:rsidRPr="00267FAD" w:rsidRDefault="00267FAD" w:rsidP="00267FAD">
            <w:pPr>
              <w:spacing w:after="58" w:line="260" w:lineRule="auto"/>
              <w:ind w:left="48" w:firstLine="7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Suite du MOOC UEI du parcours initié</w:t>
            </w:r>
          </w:p>
          <w:p w:rsidR="00267FAD" w:rsidRPr="00267FAD" w:rsidRDefault="00267FAD" w:rsidP="00267FAD">
            <w:pPr>
              <w:spacing w:after="166" w:line="254" w:lineRule="auto"/>
              <w:ind w:left="26" w:right="29" w:firstLine="29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SPn</w:t>
            </w: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0</w:t>
            </w: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 : cas d'étude à partir d'une enquête de terrain à travailler en collaboration =&gt; Travail à rendre : une analyse individuelle d'un cas d'étude, maximum 3 pages</w:t>
            </w:r>
          </w:p>
          <w:p w:rsidR="00267FAD" w:rsidRPr="00267FAD" w:rsidRDefault="00267FAD" w:rsidP="00267FAD">
            <w:pPr>
              <w:spacing w:after="3"/>
              <w:ind w:left="12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 h-enseignement</w:t>
            </w:r>
          </w:p>
          <w:p w:rsidR="00267FAD" w:rsidRPr="00267FAD" w:rsidRDefault="00267FAD" w:rsidP="00267FAD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10h- travail personnel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AD" w:rsidRPr="00267FAD" w:rsidRDefault="00267FAD" w:rsidP="00267FAD">
            <w:pPr>
              <w:spacing w:after="24" w:line="245" w:lineRule="auto"/>
              <w:ind w:left="14" w:firstLine="1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Suite MOOC UE2 du parcours i</w:t>
            </w:r>
            <w:r w:rsidR="00710A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nitié Méthodologie</w:t>
            </w:r>
            <w:r w:rsidR="00710A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  <w:t xml:space="preserve">de </w:t>
            </w:r>
            <w:r w:rsidR="00710A8C" w:rsidRPr="00710A8C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>recherche</w:t>
            </w:r>
            <w:r w:rsidRPr="00710A8C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>.</w:t>
            </w:r>
          </w:p>
          <w:p w:rsidR="00267FAD" w:rsidRDefault="00214CAD" w:rsidP="00267FAD">
            <w:pPr>
              <w:spacing w:line="251" w:lineRule="auto"/>
              <w:ind w:firstLine="1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Définitions </w:t>
            </w:r>
            <w:r w:rsidR="00267FAD"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 protoc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ole techniques de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  <w:t>recueil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  <w:t>et d'</w:t>
            </w:r>
            <w:r w:rsidR="00267FAD"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analyse de de données</w:t>
            </w:r>
            <w:r w:rsidR="00267FAD"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  <w:t>et production</w:t>
            </w:r>
            <w:r w:rsidR="00267FAD"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  <w:t>de résultats</w:t>
            </w:r>
          </w:p>
          <w:p w:rsidR="00214CAD" w:rsidRPr="00267FAD" w:rsidRDefault="00214CAD" w:rsidP="00267FAD">
            <w:pPr>
              <w:spacing w:line="251" w:lineRule="auto"/>
              <w:ind w:firstLine="1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267FAD" w:rsidRPr="00267FAD" w:rsidRDefault="00267FAD" w:rsidP="00267FAD">
            <w:pPr>
              <w:ind w:left="7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3h-enseignement</w:t>
            </w:r>
          </w:p>
          <w:p w:rsidR="00267FAD" w:rsidRPr="00267FAD" w:rsidRDefault="00267FAD" w:rsidP="00267FAD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2h travail personnel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AD" w:rsidRPr="00267FAD" w:rsidRDefault="00267FAD" w:rsidP="00267FAD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En lien avec les situations professionnelles des stagiaires et leurs institutions</w:t>
            </w:r>
          </w:p>
        </w:tc>
      </w:tr>
      <w:tr w:rsidR="00267FAD" w:rsidRPr="00267FAD" w:rsidTr="00DF7DFA">
        <w:trPr>
          <w:trHeight w:val="21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AD" w:rsidRPr="00267FAD" w:rsidRDefault="00267FAD" w:rsidP="00267FAD">
            <w:pPr>
              <w:spacing w:after="5" w:line="248" w:lineRule="auto"/>
              <w:ind w:left="84" w:hanging="7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Architecte Expert</w:t>
            </w:r>
          </w:p>
          <w:p w:rsidR="00267FAD" w:rsidRPr="00267FAD" w:rsidRDefault="00267FAD" w:rsidP="00267FAD">
            <w:pPr>
              <w:ind w:left="9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 ECTS</w:t>
            </w:r>
          </w:p>
        </w:tc>
        <w:tc>
          <w:tcPr>
            <w:tcW w:w="8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AD" w:rsidRPr="00267FAD" w:rsidRDefault="00267FAD" w:rsidP="00267FAD">
            <w:pPr>
              <w:spacing w:after="26" w:line="238" w:lineRule="auto"/>
              <w:ind w:left="69" w:right="14" w:firstLine="7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Mise en œuvre d'un projet</w:t>
            </w:r>
          </w:p>
          <w:p w:rsidR="00214CAD" w:rsidRDefault="00267FAD" w:rsidP="00267FAD">
            <w:pPr>
              <w:spacing w:after="7" w:line="268" w:lineRule="auto"/>
              <w:ind w:left="55" w:right="58" w:firstLine="1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A partir des acquis des parcours </w:t>
            </w:r>
            <w:r w:rsidR="008D288A">
              <w:rPr>
                <w:rFonts w:asciiTheme="majorHAnsi" w:eastAsia="Times New Roman" w:hAnsiTheme="majorHAnsi" w:cstheme="majorHAnsi"/>
                <w:i/>
                <w:color w:val="002060"/>
                <w:sz w:val="20"/>
                <w:szCs w:val="20"/>
              </w:rPr>
              <w:t>I</w:t>
            </w:r>
            <w:r w:rsidRPr="00710A8C">
              <w:rPr>
                <w:rFonts w:asciiTheme="majorHAnsi" w:eastAsia="Times New Roman" w:hAnsiTheme="majorHAnsi" w:cstheme="majorHAnsi"/>
                <w:i/>
                <w:color w:val="002060"/>
                <w:sz w:val="20"/>
                <w:szCs w:val="20"/>
              </w:rPr>
              <w:t>nitié</w:t>
            </w: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</w:t>
            </w:r>
            <w:r w:rsidR="008D288A">
              <w:rPr>
                <w:rFonts w:asciiTheme="majorHAnsi" w:eastAsia="Times New Roman" w:hAnsiTheme="majorHAnsi" w:cstheme="majorHAnsi"/>
                <w:i/>
                <w:color w:val="1F4E79" w:themeColor="accent1" w:themeShade="80"/>
                <w:sz w:val="20"/>
                <w:szCs w:val="20"/>
              </w:rPr>
              <w:t>A</w:t>
            </w:r>
            <w:r w:rsidRPr="00710A8C">
              <w:rPr>
                <w:rFonts w:asciiTheme="majorHAnsi" w:eastAsia="Times New Roman" w:hAnsiTheme="majorHAnsi" w:cstheme="majorHAnsi"/>
                <w:i/>
                <w:color w:val="1F4E79" w:themeColor="accent1" w:themeShade="80"/>
                <w:sz w:val="20"/>
                <w:szCs w:val="20"/>
              </w:rPr>
              <w:t>cteur</w:t>
            </w: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mettr</w:t>
            </w:r>
            <w:r w:rsidR="00214C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 en place un projet (exemples :</w:t>
            </w: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dispositif</w:t>
            </w:r>
            <w:r w:rsidR="00214C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</w:t>
            </w: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événements</w:t>
            </w:r>
            <w:r w:rsidR="00214C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à l’échelle d’un établissement,</w:t>
            </w: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avec un groupe académique ou départemental...</w:t>
            </w:r>
            <w:r w:rsidR="00214C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)</w:t>
            </w: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267FAD" w:rsidRPr="00267FAD" w:rsidRDefault="00267FAD" w:rsidP="00267FAD">
            <w:pPr>
              <w:spacing w:after="7" w:line="268" w:lineRule="auto"/>
              <w:ind w:left="55" w:right="58" w:firstLine="14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Travail individuel à rendre : analyse réflexive de la mise en œuvre du projet</w:t>
            </w:r>
          </w:p>
          <w:p w:rsidR="00267FAD" w:rsidRPr="00267FAD" w:rsidRDefault="00710A8C" w:rsidP="00267FAD">
            <w:pPr>
              <w:spacing w:after="24"/>
              <w:ind w:left="62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10A8C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</w:rPr>
              <w:t>5h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10A8C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</w:rPr>
              <w:t>d’</w:t>
            </w:r>
            <w:r w:rsidR="00267FAD"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accompagnement</w:t>
            </w:r>
          </w:p>
          <w:p w:rsidR="00267FAD" w:rsidRPr="00267FAD" w:rsidRDefault="00710A8C" w:rsidP="00267FAD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10A8C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</w:rPr>
              <w:t>40</w:t>
            </w:r>
            <w:r w:rsidR="00267FAD" w:rsidRPr="00710A8C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</w:rPr>
              <w:t xml:space="preserve">h </w:t>
            </w:r>
            <w:r w:rsidRPr="00710A8C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</w:rPr>
              <w:t xml:space="preserve">de </w:t>
            </w:r>
            <w:r w:rsidR="00267FAD" w:rsidRPr="00267FA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travail personnel</w:t>
            </w:r>
          </w:p>
        </w:tc>
      </w:tr>
    </w:tbl>
    <w:p w:rsidR="00251726" w:rsidRDefault="00251726" w:rsidP="00435CE8">
      <w:pPr>
        <w:jc w:val="both"/>
      </w:pPr>
    </w:p>
    <w:p w:rsidR="00A03F47" w:rsidRPr="00FB5561" w:rsidRDefault="00435CE8" w:rsidP="00435CE8">
      <w:pPr>
        <w:jc w:val="both"/>
        <w:rPr>
          <w:b/>
          <w:color w:val="1F4E79" w:themeColor="accent1" w:themeShade="80"/>
        </w:rPr>
      </w:pPr>
      <w:r w:rsidRPr="00FB5561">
        <w:rPr>
          <w:b/>
          <w:color w:val="1F4E79" w:themeColor="accent1" w:themeShade="80"/>
        </w:rPr>
        <w:t>E</w:t>
      </w:r>
      <w:r w:rsidR="00A03F47" w:rsidRPr="00FB5561">
        <w:rPr>
          <w:b/>
          <w:color w:val="1F4E79" w:themeColor="accent1" w:themeShade="80"/>
        </w:rPr>
        <w:t>valuation</w:t>
      </w:r>
      <w:r w:rsidRPr="00FB5561">
        <w:rPr>
          <w:b/>
          <w:color w:val="1F4E79" w:themeColor="accent1" w:themeShade="80"/>
        </w:rPr>
        <w:t>/ reconnaissance</w:t>
      </w:r>
    </w:p>
    <w:p w:rsidR="00C0665A" w:rsidRDefault="00407A89" w:rsidP="00214CAD">
      <w:pPr>
        <w:spacing w:after="0" w:line="240" w:lineRule="auto"/>
        <w:jc w:val="both"/>
        <w:rPr>
          <w:b/>
        </w:rPr>
      </w:pPr>
      <w:r>
        <w:t>Le diplôme universitaire sera obtenu à l’issue de la</w:t>
      </w:r>
      <w:r w:rsidR="00214CAD">
        <w:t xml:space="preserve"> formation représentant 18 ECTS</w:t>
      </w:r>
      <w:r>
        <w:t xml:space="preserve"> et 9 open badges</w:t>
      </w:r>
      <w:r w:rsidR="00995C8B" w:rsidRPr="00FB5561">
        <w:t>.</w:t>
      </w:r>
      <w:r w:rsidR="00214CAD">
        <w:t xml:space="preserve"> Le stagiaire peut compléter son diplôme au-delà d’une année moyennant réinscription </w:t>
      </w:r>
      <w:r w:rsidR="00C16F32">
        <w:t xml:space="preserve">obligatoire </w:t>
      </w:r>
      <w:r w:rsidR="00214CAD">
        <w:t xml:space="preserve">sans frais supplémentaires. </w:t>
      </w:r>
    </w:p>
    <w:p w:rsidR="00C16F32" w:rsidRPr="008E11D6" w:rsidRDefault="00C16F32" w:rsidP="00214CAD">
      <w:pPr>
        <w:spacing w:after="0" w:line="240" w:lineRule="auto"/>
        <w:jc w:val="both"/>
        <w:rPr>
          <w:b/>
        </w:rPr>
      </w:pPr>
      <w:r w:rsidRPr="008E11D6">
        <w:rPr>
          <w:b/>
        </w:rPr>
        <w:t xml:space="preserve">Date limite </w:t>
      </w:r>
      <w:r w:rsidR="001C0C73">
        <w:rPr>
          <w:b/>
        </w:rPr>
        <w:t>pour candidater : 25 août</w:t>
      </w:r>
      <w:r w:rsidR="008E11D6" w:rsidRPr="008E11D6">
        <w:rPr>
          <w:b/>
        </w:rPr>
        <w:t xml:space="preserve"> 202</w:t>
      </w:r>
      <w:r w:rsidR="001C0C73">
        <w:rPr>
          <w:b/>
        </w:rPr>
        <w:t>3</w:t>
      </w:r>
    </w:p>
    <w:p w:rsidR="00C16F32" w:rsidRDefault="00C16F32" w:rsidP="00214CAD">
      <w:pPr>
        <w:spacing w:after="0" w:line="240" w:lineRule="auto"/>
        <w:jc w:val="both"/>
      </w:pPr>
      <w:r>
        <w:t>Dépôt de la candidature (CV, lettre de motivation, copies des diplômes obtenus) auprès de :</w:t>
      </w:r>
    </w:p>
    <w:p w:rsidR="00C16F32" w:rsidRDefault="00C0665A" w:rsidP="00214CAD">
      <w:pPr>
        <w:spacing w:after="0" w:line="240" w:lineRule="auto"/>
        <w:jc w:val="both"/>
      </w:pPr>
      <w:r w:rsidRPr="00C0665A">
        <w:t>C</w:t>
      </w:r>
      <w:r w:rsidR="001C0C73">
        <w:t>ontact : caroline.veltcheff</w:t>
      </w:r>
      <w:r w:rsidRPr="00C0665A">
        <w:t>@ac-paris.fr</w:t>
      </w:r>
    </w:p>
    <w:p w:rsidR="001C0C73" w:rsidRDefault="001C0C73" w:rsidP="001C0C73">
      <w:pPr>
        <w:spacing w:after="0" w:line="240" w:lineRule="auto"/>
        <w:jc w:val="both"/>
      </w:pPr>
      <w:r>
        <w:t>Nous vous enverron</w:t>
      </w:r>
      <w:r w:rsidR="005978CA">
        <w:t xml:space="preserve">s ensuite la procédure pour votre inscription définitive </w:t>
      </w:r>
      <w:r>
        <w:t>sur e – candidat à l’université de Cergy.</w:t>
      </w:r>
      <w:r w:rsidR="005978CA">
        <w:t xml:space="preserve"> Un livret du </w:t>
      </w:r>
      <w:proofErr w:type="spellStart"/>
      <w:r w:rsidR="005978CA">
        <w:t>DU</w:t>
      </w:r>
      <w:proofErr w:type="spellEnd"/>
      <w:r w:rsidR="005978CA">
        <w:t xml:space="preserve"> accompagnera vos démarches administratives et pédagogiques. </w:t>
      </w:r>
    </w:p>
    <w:p w:rsidR="005978CA" w:rsidRDefault="005978CA" w:rsidP="001C0C73">
      <w:pPr>
        <w:spacing w:after="0" w:line="240" w:lineRule="auto"/>
        <w:jc w:val="both"/>
      </w:pPr>
    </w:p>
    <w:p w:rsidR="0002153F" w:rsidRDefault="0002153F" w:rsidP="00214CAD">
      <w:pPr>
        <w:spacing w:after="0" w:line="240" w:lineRule="auto"/>
        <w:jc w:val="both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Frais d’i</w:t>
      </w:r>
      <w:r w:rsidRPr="00FB5561">
        <w:rPr>
          <w:b/>
          <w:color w:val="1F4E79" w:themeColor="accent1" w:themeShade="80"/>
        </w:rPr>
        <w:t>nscription</w:t>
      </w:r>
    </w:p>
    <w:p w:rsidR="000C3C8B" w:rsidRPr="00FB5561" w:rsidRDefault="0002153F" w:rsidP="005978CA">
      <w:pPr>
        <w:spacing w:after="0" w:line="240" w:lineRule="auto"/>
        <w:jc w:val="both"/>
      </w:pPr>
      <w:r>
        <w:rPr>
          <w:color w:val="1F4E79" w:themeColor="accent1" w:themeShade="80"/>
        </w:rPr>
        <w:t xml:space="preserve">1400 euros : candidature prise en charge par </w:t>
      </w:r>
      <w:r w:rsidR="00C0665A">
        <w:rPr>
          <w:color w:val="1F4E79" w:themeColor="accent1" w:themeShade="80"/>
        </w:rPr>
        <w:t xml:space="preserve">la DAFOR de Paris si votre candidature est retenue à l’issue du jury avec les partenaires, </w:t>
      </w:r>
      <w:r>
        <w:rPr>
          <w:color w:val="1F4E79" w:themeColor="accent1" w:themeShade="80"/>
        </w:rPr>
        <w:t>ou candidature individuelle</w:t>
      </w:r>
      <w:r w:rsidR="005978CA">
        <w:rPr>
          <w:color w:val="1F4E79" w:themeColor="accent1" w:themeShade="80"/>
        </w:rPr>
        <w:t>, sur crédits CPF</w:t>
      </w:r>
      <w:r w:rsidR="00C0665A">
        <w:t>.</w:t>
      </w:r>
    </w:p>
    <w:sectPr w:rsidR="000C3C8B" w:rsidRPr="00FB5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B5" w:rsidRDefault="005605B5" w:rsidP="00835AC4">
      <w:pPr>
        <w:spacing w:after="0" w:line="240" w:lineRule="auto"/>
      </w:pPr>
      <w:r>
        <w:separator/>
      </w:r>
    </w:p>
  </w:endnote>
  <w:endnote w:type="continuationSeparator" w:id="0">
    <w:p w:rsidR="005605B5" w:rsidRDefault="005605B5" w:rsidP="0083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09" w:rsidRDefault="003411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09" w:rsidRDefault="0034110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09" w:rsidRDefault="003411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B5" w:rsidRDefault="005605B5" w:rsidP="00835AC4">
      <w:pPr>
        <w:spacing w:after="0" w:line="240" w:lineRule="auto"/>
      </w:pPr>
      <w:r>
        <w:separator/>
      </w:r>
    </w:p>
  </w:footnote>
  <w:footnote w:type="continuationSeparator" w:id="0">
    <w:p w:rsidR="005605B5" w:rsidRDefault="005605B5" w:rsidP="0083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09" w:rsidRDefault="003411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C4" w:rsidRDefault="0034110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4859655</wp:posOffset>
          </wp:positionH>
          <wp:positionV relativeFrom="paragraph">
            <wp:posOffset>3175</wp:posOffset>
          </wp:positionV>
          <wp:extent cx="1540510" cy="628650"/>
          <wp:effectExtent l="0" t="0" r="2540" b="0"/>
          <wp:wrapSquare wrapText="bothSides"/>
          <wp:docPr id="896" name="Picture 8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6" name="Picture 8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93B" w:rsidRPr="00470EF4">
      <w:rPr>
        <w:rFonts w:asciiTheme="majorHAnsi" w:hAnsiTheme="majorHAnsi"/>
        <w:noProof/>
        <w:color w:val="000000" w:themeColor="text1"/>
        <w:lang w:eastAsia="fr-FR"/>
      </w:rPr>
      <w:drawing>
        <wp:anchor distT="0" distB="0" distL="114300" distR="114300" simplePos="0" relativeHeight="251663360" behindDoc="0" locked="0" layoutInCell="1" allowOverlap="1" wp14:anchorId="2E76637E" wp14:editId="0ED3B7B6">
          <wp:simplePos x="0" y="0"/>
          <wp:positionH relativeFrom="column">
            <wp:posOffset>2750820</wp:posOffset>
          </wp:positionH>
          <wp:positionV relativeFrom="paragraph">
            <wp:posOffset>3810</wp:posOffset>
          </wp:positionV>
          <wp:extent cx="723900" cy="758825"/>
          <wp:effectExtent l="0" t="0" r="0" b="3175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910"/>
                  <a:stretch/>
                </pic:blipFill>
                <pic:spPr bwMode="auto">
                  <a:xfrm>
                    <a:off x="0" y="0"/>
                    <a:ext cx="723900" cy="75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93B">
      <w:rPr>
        <w:noProof/>
        <w:lang w:eastAsia="fr-FR"/>
      </w:rPr>
      <w:drawing>
        <wp:inline distT="0" distB="0" distL="0" distR="0" wp14:anchorId="0FBE27FE" wp14:editId="37D1852B">
          <wp:extent cx="1066800" cy="794385"/>
          <wp:effectExtent l="0" t="0" r="0" b="5715"/>
          <wp:docPr id="3" name="Image 3" descr="C:\Users\cveltcheff\AppData\Local\Microsoft\Windows\INetCache\Content.MSO\4243B6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veltcheff\AppData\Local\Microsoft\Windows\INetCache\Content.MSO\4243B69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440" cy="855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AC4">
      <w:rPr>
        <w:rFonts w:asciiTheme="majorHAnsi" w:hAnsiTheme="majorHAnsi"/>
        <w:b/>
        <w:noProof/>
        <w:color w:val="000000" w:themeColor="text1"/>
        <w:lang w:eastAsia="fr-FR"/>
      </w:rPr>
      <w:drawing>
        <wp:anchor distT="0" distB="0" distL="114300" distR="114300" simplePos="0" relativeHeight="251665408" behindDoc="0" locked="0" layoutInCell="1" allowOverlap="1" wp14:anchorId="7786AE87" wp14:editId="04E260D7">
          <wp:simplePos x="0" y="0"/>
          <wp:positionH relativeFrom="column">
            <wp:posOffset>3741420</wp:posOffset>
          </wp:positionH>
          <wp:positionV relativeFrom="paragraph">
            <wp:posOffset>-234315</wp:posOffset>
          </wp:positionV>
          <wp:extent cx="902970" cy="622300"/>
          <wp:effectExtent l="0" t="0" r="0" b="6350"/>
          <wp:wrapSquare wrapText="bothSides"/>
          <wp:docPr id="9" name="Image 9" descr="Une image contenant alimentation,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e d’écran 2020-07-10 à 09.00.39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AC4" w:rsidRPr="00B729B5">
      <w:rPr>
        <w:rFonts w:asciiTheme="majorHAnsi" w:hAnsiTheme="majorHAnsi"/>
        <w:b/>
        <w:noProof/>
        <w:color w:val="000000" w:themeColor="text1"/>
        <w:lang w:eastAsia="fr-FR"/>
      </w:rPr>
      <w:drawing>
        <wp:anchor distT="0" distB="0" distL="114300" distR="114300" simplePos="0" relativeHeight="251659264" behindDoc="0" locked="0" layoutInCell="1" allowOverlap="1" wp14:anchorId="23FB41EF" wp14:editId="791D4663">
          <wp:simplePos x="0" y="0"/>
          <wp:positionH relativeFrom="margin">
            <wp:posOffset>-557530</wp:posOffset>
          </wp:positionH>
          <wp:positionV relativeFrom="paragraph">
            <wp:posOffset>-300990</wp:posOffset>
          </wp:positionV>
          <wp:extent cx="1932940" cy="748665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09" w:rsidRDefault="003411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070E"/>
    <w:multiLevelType w:val="hybridMultilevel"/>
    <w:tmpl w:val="BEA2C816"/>
    <w:lvl w:ilvl="0" w:tplc="D26AB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24AF6"/>
    <w:multiLevelType w:val="hybridMultilevel"/>
    <w:tmpl w:val="00FC28B2"/>
    <w:lvl w:ilvl="0" w:tplc="801AD9FE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FDA5D3C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84B72E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6760804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618126E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6CE0A8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AC3746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7060BE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3AA888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33EDB"/>
    <w:multiLevelType w:val="hybridMultilevel"/>
    <w:tmpl w:val="766EBCC0"/>
    <w:lvl w:ilvl="0" w:tplc="7C043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C4"/>
    <w:rsid w:val="000109A5"/>
    <w:rsid w:val="0002153F"/>
    <w:rsid w:val="00022B3F"/>
    <w:rsid w:val="00032E83"/>
    <w:rsid w:val="000501C5"/>
    <w:rsid w:val="00063E4E"/>
    <w:rsid w:val="000C3C8B"/>
    <w:rsid w:val="000F1A6B"/>
    <w:rsid w:val="00112943"/>
    <w:rsid w:val="00146091"/>
    <w:rsid w:val="001C0C73"/>
    <w:rsid w:val="001C7660"/>
    <w:rsid w:val="00214CAD"/>
    <w:rsid w:val="00251726"/>
    <w:rsid w:val="00260F8D"/>
    <w:rsid w:val="00267FAD"/>
    <w:rsid w:val="002E7D3A"/>
    <w:rsid w:val="00310A45"/>
    <w:rsid w:val="00341109"/>
    <w:rsid w:val="00343D0E"/>
    <w:rsid w:val="0038216A"/>
    <w:rsid w:val="00393591"/>
    <w:rsid w:val="00407A89"/>
    <w:rsid w:val="00435CE8"/>
    <w:rsid w:val="005605B5"/>
    <w:rsid w:val="00560DB9"/>
    <w:rsid w:val="005978CA"/>
    <w:rsid w:val="00621C26"/>
    <w:rsid w:val="00646CA7"/>
    <w:rsid w:val="00710A8C"/>
    <w:rsid w:val="00714B9F"/>
    <w:rsid w:val="00835AC4"/>
    <w:rsid w:val="00846F32"/>
    <w:rsid w:val="008A26D6"/>
    <w:rsid w:val="008D288A"/>
    <w:rsid w:val="008E11D6"/>
    <w:rsid w:val="00917191"/>
    <w:rsid w:val="00977451"/>
    <w:rsid w:val="00995C8B"/>
    <w:rsid w:val="00996F68"/>
    <w:rsid w:val="009A2C4D"/>
    <w:rsid w:val="009E1AF5"/>
    <w:rsid w:val="00A03F47"/>
    <w:rsid w:val="00A11230"/>
    <w:rsid w:val="00A45CD0"/>
    <w:rsid w:val="00A529B2"/>
    <w:rsid w:val="00AB24E7"/>
    <w:rsid w:val="00AC5373"/>
    <w:rsid w:val="00BB3C8E"/>
    <w:rsid w:val="00C0665A"/>
    <w:rsid w:val="00C16F32"/>
    <w:rsid w:val="00C4727B"/>
    <w:rsid w:val="00C671FE"/>
    <w:rsid w:val="00CD2D8A"/>
    <w:rsid w:val="00CE493B"/>
    <w:rsid w:val="00CE4E0D"/>
    <w:rsid w:val="00D26665"/>
    <w:rsid w:val="00DB6E76"/>
    <w:rsid w:val="00DF7DFA"/>
    <w:rsid w:val="00E221F5"/>
    <w:rsid w:val="00E37E8E"/>
    <w:rsid w:val="00EE7FA8"/>
    <w:rsid w:val="00F51B11"/>
    <w:rsid w:val="00FB5561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1F5DFB-8F9E-47A8-81E9-E14EAE83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846F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AC4"/>
  </w:style>
  <w:style w:type="paragraph" w:styleId="Pieddepage">
    <w:name w:val="footer"/>
    <w:basedOn w:val="Normal"/>
    <w:link w:val="PieddepageCar"/>
    <w:uiPriority w:val="99"/>
    <w:unhideWhenUsed/>
    <w:rsid w:val="0083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AC4"/>
  </w:style>
  <w:style w:type="character" w:customStyle="1" w:styleId="Titre5Car">
    <w:name w:val="Titre 5 Car"/>
    <w:basedOn w:val="Policepardfaut"/>
    <w:link w:val="Titre5"/>
    <w:uiPriority w:val="9"/>
    <w:rsid w:val="00846F3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4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46F3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46F32"/>
    <w:rPr>
      <w:i/>
      <w:iCs/>
    </w:rPr>
  </w:style>
  <w:style w:type="character" w:styleId="lev">
    <w:name w:val="Strong"/>
    <w:basedOn w:val="Policepardfaut"/>
    <w:uiPriority w:val="22"/>
    <w:qFormat/>
    <w:rsid w:val="00846F32"/>
    <w:rPr>
      <w:b/>
      <w:bCs/>
    </w:rPr>
  </w:style>
  <w:style w:type="paragraph" w:styleId="Paragraphedeliste">
    <w:name w:val="List Paragraph"/>
    <w:basedOn w:val="Normal"/>
    <w:uiPriority w:val="34"/>
    <w:qFormat/>
    <w:rsid w:val="000C3C8B"/>
    <w:pPr>
      <w:ind w:left="720"/>
      <w:contextualSpacing/>
    </w:pPr>
  </w:style>
  <w:style w:type="table" w:customStyle="1" w:styleId="TableGrid">
    <w:name w:val="TableGrid"/>
    <w:rsid w:val="00267FAD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Veltcheff</dc:creator>
  <cp:lastModifiedBy>Antoinette Delaroche</cp:lastModifiedBy>
  <cp:revision>2</cp:revision>
  <dcterms:created xsi:type="dcterms:W3CDTF">2023-07-05T07:43:00Z</dcterms:created>
  <dcterms:modified xsi:type="dcterms:W3CDTF">2023-07-05T07:43:00Z</dcterms:modified>
</cp:coreProperties>
</file>